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BC" w:rsidRPr="005B33BC" w:rsidRDefault="005B33BC" w:rsidP="005B33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B33BC">
        <w:rPr>
          <w:rFonts w:ascii="Times New Roman" w:eastAsia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5B33BC" w:rsidRPr="005B33BC" w:rsidRDefault="005B33BC" w:rsidP="005B33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h29"/>
      <w:bookmarkEnd w:id="0"/>
      <w:r w:rsidRPr="005B33B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ПРИКАЗ </w:t>
      </w:r>
      <w:r w:rsidRPr="005B33BC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от 1 июля 2021 г. N 698н</w:t>
      </w:r>
    </w:p>
    <w:p w:rsidR="005B33BC" w:rsidRPr="005B33BC" w:rsidRDefault="005B33BC" w:rsidP="005B33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B33BC">
        <w:rPr>
          <w:rFonts w:ascii="Times New Roman" w:eastAsia="Times New Roman" w:hAnsi="Times New Roman" w:cs="Times New Roman"/>
          <w:b/>
          <w:bCs/>
          <w:sz w:val="36"/>
          <w:szCs w:val="36"/>
        </w:rPr>
        <w:t>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</w:r>
      <w:bookmarkStart w:id="1" w:name="l1"/>
      <w:bookmarkEnd w:id="1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абзацем двадцать третьим </w:t>
      </w:r>
      <w:hyperlink r:id="rId4" w:anchor="l56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раздела IV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Программы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 г. N 2299 (Собрание законодательства Российской Федерации, 2021, N 2, ст. 384; </w:t>
      </w: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>Официальный интернет-портал правовой информации (</w:t>
      </w:r>
      <w:proofErr w:type="spellStart"/>
      <w:r w:rsidRPr="005B33BC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5B33BC">
        <w:rPr>
          <w:rFonts w:ascii="Times New Roman" w:eastAsia="Times New Roman" w:hAnsi="Times New Roman" w:cs="Times New Roman"/>
          <w:sz w:val="24"/>
          <w:szCs w:val="24"/>
        </w:rPr>
        <w:t>), 2021, 19 июня, N 0001202106190007), приказываю:</w:t>
      </w:r>
      <w:bookmarkStart w:id="2" w:name="l2"/>
      <w:bookmarkEnd w:id="2"/>
      <w:proofErr w:type="gramEnd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>Утвердить прилагаемый 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порядке.</w:t>
      </w:r>
    </w:p>
    <w:p w:rsidR="005B33BC" w:rsidRPr="005B33BC" w:rsidRDefault="005B33BC" w:rsidP="005B33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Министр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br/>
      </w:r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М.А. МУРАШКО</w:t>
      </w:r>
    </w:p>
    <w:p w:rsidR="005B33BC" w:rsidRPr="005B33BC" w:rsidRDefault="005B33BC" w:rsidP="005B33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h30"/>
      <w:bookmarkEnd w:id="3"/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</w:t>
      </w:r>
    </w:p>
    <w:p w:rsidR="005B33BC" w:rsidRPr="005B33BC" w:rsidRDefault="005B33BC" w:rsidP="005B33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УТВЕРЖДЕН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br/>
      </w:r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приказом Министерства здравоохранения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br/>
      </w:r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Российской Федерации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br/>
      </w:r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от 1 июля 2021 г. N 698н</w:t>
      </w:r>
      <w:bookmarkStart w:id="4" w:name="l31"/>
      <w:bookmarkEnd w:id="4"/>
    </w:p>
    <w:p w:rsidR="005B33BC" w:rsidRPr="005B33BC" w:rsidRDefault="005B33BC" w:rsidP="005B33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5" w:name="h32"/>
      <w:bookmarkEnd w:id="5"/>
      <w:r w:rsidRPr="005B33BC">
        <w:rPr>
          <w:rFonts w:ascii="Times New Roman" w:eastAsia="Times New Roman" w:hAnsi="Times New Roman" w:cs="Times New Roman"/>
          <w:b/>
          <w:bCs/>
          <w:sz w:val="36"/>
          <w:szCs w:val="36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регулирует вопросы направления взрослых (в возрасте 18 лет и старше) на прохождение углубленной диспансеризации, включая категории граждан,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lastRenderedPageBreak/>
        <w:t>проходящих углубленную диспансеризацию в первоочередном порядке (далее - граждане).</w:t>
      </w:r>
      <w:bookmarkStart w:id="6" w:name="l3"/>
      <w:bookmarkEnd w:id="6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2. Углубленную диспансеризацию вправе пройти граждане, переболевшие новой </w:t>
      </w:r>
      <w:proofErr w:type="spellStart"/>
      <w:r w:rsidRPr="005B33B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инфекцией COVID-19.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5B33B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инфекцией COVID-19, при подаче им заявления на имя руководителя медицинской организации, выбранной гражданином для оказания первичной медико-санитарной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(далее - медицинская организация), о его желании пройти</w:t>
      </w:r>
      <w:proofErr w:type="gram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углубленную диспансеризацию, </w:t>
      </w: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>оформленного</w:t>
      </w:r>
      <w:proofErr w:type="gram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в произвольной форме в письменном виде.</w:t>
      </w:r>
      <w:bookmarkStart w:id="7" w:name="l33"/>
      <w:bookmarkStart w:id="8" w:name="l4"/>
      <w:bookmarkEnd w:id="7"/>
      <w:bookmarkEnd w:id="8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>Категории граждан, проходящих углубленную диспансеризацию в первоочередном порядке, определены в приложении к настоящему Порядку (далее - категории).</w:t>
      </w:r>
      <w:bookmarkStart w:id="9" w:name="l34"/>
      <w:bookmarkEnd w:id="9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>3. В случае отсутствия у медицинской организации лицензии на осуществление медицинской деятельности по отдельным видам работ (услуг), необходимым для проведения углубленной диспансеризации, медицинская организация направляет гражданина в иную медицинскую организацию, имеющую лицензию на требуемые виды работ (услуг).</w:t>
      </w:r>
      <w:bookmarkStart w:id="10" w:name="l5"/>
      <w:bookmarkEnd w:id="10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4. Руководитель медицинской организации, врачи-терапевты, врачи-терапевты участковые, врачи общей практики (семейные врачи), врачи-терапевты цехового врачебного участка, врачи по медицинской профилактике медицинской организации являются ответственными за проведение углубленной диспансеризации. Фельдшер является ответственным </w:t>
      </w: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>за проведение углубленной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</w:t>
      </w:r>
      <w:proofErr w:type="gram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наблюдения за ним и его лечения &lt;1&gt; (далее - медицинские работники, ответственные за проведение углубленной диспансеризации).</w:t>
      </w:r>
      <w:bookmarkStart w:id="11" w:name="l35"/>
      <w:bookmarkStart w:id="12" w:name="l6"/>
      <w:bookmarkEnd w:id="11"/>
      <w:bookmarkEnd w:id="12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>&lt;1&gt; 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  <w:bookmarkStart w:id="13" w:name="l36"/>
      <w:bookmarkStart w:id="14" w:name="l7"/>
      <w:bookmarkStart w:id="15" w:name="l37"/>
      <w:bookmarkEnd w:id="13"/>
      <w:bookmarkEnd w:id="14"/>
      <w:bookmarkEnd w:id="15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5. В целях организации проведения углубленной диспансеризации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 &lt;2&gt;, составляется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lastRenderedPageBreak/>
        <w:t>поименный перечень граждан, подлежащих углубленной диспансеризации (далее - перечень граждан), в котором указываются следующие сведения:</w:t>
      </w:r>
      <w:bookmarkStart w:id="16" w:name="l8"/>
      <w:bookmarkEnd w:id="16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hyperlink r:id="rId5" w:anchor="l1087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7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статьи 44.1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49; ст. 6422; 2020, N 50, ст. 8075).</w:t>
      </w:r>
      <w:bookmarkStart w:id="17" w:name="l38"/>
      <w:bookmarkEnd w:id="17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>1) фамилия, имя, отчество (при наличии), возраст (дата, месяц, год рождения);</w:t>
      </w:r>
      <w:bookmarkStart w:id="18" w:name="l9"/>
      <w:bookmarkEnd w:id="18"/>
      <w:proofErr w:type="gramEnd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>2) номер полиса обязательного медицинского страхования гражданина;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>3) категория, к которой относится гражданин;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>4) планируемые дата и место проведения углубленной диспансеризации.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>Перечень граждан подлежит ежемесячной актуализации медицинской организацией.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6. Планируемая дата проведения углубленной диспансеризации устанавливается не ранее 60 календарных дней после выздоровления &lt;3&gt; гражданина, перенесшего новую </w:t>
      </w:r>
      <w:proofErr w:type="spellStart"/>
      <w:r w:rsidRPr="005B33BC">
        <w:rPr>
          <w:rFonts w:ascii="Times New Roman" w:eastAsia="Times New Roman" w:hAnsi="Times New Roman" w:cs="Times New Roman"/>
          <w:sz w:val="24"/>
          <w:szCs w:val="24"/>
        </w:rPr>
        <w:t>коронавирусную</w:t>
      </w:r>
      <w:proofErr w:type="spell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инфекцию COVID-19, при оказании ему медицинской помощи в амбулаторных условиях или в условиях стационара.</w:t>
      </w:r>
      <w:bookmarkStart w:id="19" w:name="l39"/>
      <w:bookmarkStart w:id="20" w:name="l10"/>
      <w:bookmarkEnd w:id="19"/>
      <w:bookmarkEnd w:id="20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&lt;3&gt; </w:t>
      </w:r>
      <w:hyperlink r:id="rId6" w:anchor="l1178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 13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к приказу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5B33B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инфекции COVID-19" (зарегистрирован Министерством юстиции Российской Федерации 19 марта 2020 г., регистрационный N 57786) с изменениями, внесенными приказами Министерства здравоохранения Российской Федерации от 27</w:t>
      </w:r>
      <w:proofErr w:type="gram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>марта 2020 г. N 246н (зарегистрирован Министерством юстиции Российской Федерации 27 марта 2020 г., регистрационный N 57860), от 2 апреля 2020 г. N 264н (зарегистрирован Министерством юстиции Российской Федерации 3 апреля 2020 г., регистрационный N 57956), от 29 апреля 2020 г. N 385н (зарегистрирован Министерством юстиции Российской Федерации 30 апреля 2020 г., регистрационный N 58255), от 18 мая 2020 г</w:t>
      </w:r>
      <w:proofErr w:type="gram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>N 459н (зарегистрирован Министерством юстиции Российской Федерации 25 мая 2020 г., регистрационный N 58449), от 29 мая 2020 г. N 513н (зарегистрирован Министерством юстиции Российской Федерации 3 июня 2020 г., регистрационный N 58560), от 7 июля 2020 г. N 685н (зарегистрирован Министерством юстиции Российской Федерации 13 июля 2020 г., регистрационный N 58913), от 27 августа 2020 г. N 905н (зарегистрирован</w:t>
      </w:r>
      <w:proofErr w:type="gram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>Министерством юстиции Российской Федерации 4 сентября 2020 г., регистрационный N 59645), от 15 сентября 2020 г. N 982н (зарегистрирован Министерством юстиции Российской Федерации 17 сентября 2020 г., регистрационный N 59939), от 1 октября 2020 г. N 1062н (зарегистрирован Министерством юстиции Российской Федерации 7 октября 2020 г., регистрационный N 60279), от 23 октября 2020 г. N 1140н (зарегистрирован Министерством юстиции Российской</w:t>
      </w:r>
      <w:proofErr w:type="gram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>Федерации 28 октября 2020 г., регистрационный N 60610), от 30 октября 2020 г. N 1184н (зарегистрирован Министерством юстиции Российской Федерации 12 ноября 2020 г., регистрационный N 60860), от 4 декабря 2020 г. N 1288н (зарегистрирован Министерством юстиции Российской Федерации 15 декабря 2020 г., регистрационный N 61475) и от 23 марта 2021 г. N 232н (зарегистрирован Министерством юстиции Российской Федерации 15</w:t>
      </w:r>
      <w:proofErr w:type="gram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апреля 2021 г., регистрационный N 63143).</w:t>
      </w:r>
      <w:bookmarkStart w:id="21" w:name="l11"/>
      <w:bookmarkStart w:id="22" w:name="l40"/>
      <w:bookmarkStart w:id="23" w:name="l12"/>
      <w:bookmarkStart w:id="24" w:name="l41"/>
      <w:bookmarkStart w:id="25" w:name="l13"/>
      <w:bookmarkEnd w:id="21"/>
      <w:bookmarkEnd w:id="22"/>
      <w:bookmarkEnd w:id="23"/>
      <w:bookmarkEnd w:id="24"/>
      <w:bookmarkEnd w:id="25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lastRenderedPageBreak/>
        <w:t>7. На основании перечня граждан медицинская организация формирует и ведет календарный план проведения углубленной диспансеризации с указанием осмотров врачами-специалистами, лабораторных, инструментальных и иных исследований, дат и мест их проведения, числа граждан (далее - календарный план).</w:t>
      </w:r>
      <w:bookmarkStart w:id="26" w:name="l42"/>
      <w:bookmarkEnd w:id="26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>При планировании даты проведения углубленной диспансеризации гражданина, составлении перечня граждан, подлежащих углубленной диспансеризации, а также при актуализации указанного перечня учитывается категория, к которой относится гражданин.</w:t>
      </w:r>
      <w:bookmarkStart w:id="27" w:name="l14"/>
      <w:bookmarkEnd w:id="27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>8. Перечень граждан и календарный план доводятся до сведения медицинских работников, участвующих в проведении углубленной диспансеризации, в том числе медицинских работников, ответственных за проведение углубленной диспансеризации.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Территориальный фонд обязательного медицинского страхования, медицинская организация осуществляют информационное взаимодействие со страховыми медицинскими организациями в целях организации информирования граждан, подлежащих углубленной диспансеризации, или их законных представителей о возможности прохождения углубленной диспансеризации в соответствии с </w:t>
      </w:r>
      <w:hyperlink r:id="rId7" w:anchor="l23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&lt;4&gt;.</w:t>
      </w:r>
      <w:bookmarkStart w:id="28" w:name="l43"/>
      <w:bookmarkStart w:id="29" w:name="l15"/>
      <w:bookmarkEnd w:id="28"/>
      <w:bookmarkEnd w:id="29"/>
      <w:proofErr w:type="gramEnd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>&lt;4&gt;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  <w:bookmarkStart w:id="30" w:name="l44"/>
      <w:bookmarkStart w:id="31" w:name="l16"/>
      <w:bookmarkEnd w:id="30"/>
      <w:bookmarkEnd w:id="31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>10. Перечень граждан направляется медицинской организацией в территориальный фонд обязательного медицинского страхования, который доводит его до страховых медицинских организаций путем размещения в государственной информационной системе обязательного медицинского страхования. Информирование страховыми медицинскими организациями застрахованных граждан о возможности пройти углубленную диспансеризацию осуществляется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сети радиотелефонной связи (</w:t>
      </w:r>
      <w:proofErr w:type="spellStart"/>
      <w:r w:rsidRPr="005B33BC">
        <w:rPr>
          <w:rFonts w:ascii="Times New Roman" w:eastAsia="Times New Roman" w:hAnsi="Times New Roman" w:cs="Times New Roman"/>
          <w:sz w:val="24"/>
          <w:szCs w:val="24"/>
        </w:rPr>
        <w:t>смс-сообщений</w:t>
      </w:r>
      <w:proofErr w:type="spellEnd"/>
      <w:r w:rsidRPr="005B33BC">
        <w:rPr>
          <w:rFonts w:ascii="Times New Roman" w:eastAsia="Times New Roman" w:hAnsi="Times New Roman" w:cs="Times New Roman"/>
          <w:sz w:val="24"/>
          <w:szCs w:val="24"/>
        </w:rPr>
        <w:t>) и иных доступных сре</w:t>
      </w: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5B33BC">
        <w:rPr>
          <w:rFonts w:ascii="Times New Roman" w:eastAsia="Times New Roman" w:hAnsi="Times New Roman" w:cs="Times New Roman"/>
          <w:sz w:val="24"/>
          <w:szCs w:val="24"/>
        </w:rPr>
        <w:t>язи, а также организации мониторинга проведения углубленной диспансеризации.</w:t>
      </w:r>
      <w:bookmarkStart w:id="32" w:name="l45"/>
      <w:bookmarkStart w:id="33" w:name="l17"/>
      <w:bookmarkEnd w:id="32"/>
      <w:bookmarkEnd w:id="33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>Органы исполнительной власти субъектов Российской Федерации в сфере охраны здоровья обеспечивают организацию прохождения гражданами углубленной диспансеризации, в том числе в вечерние часы и субботу, а также предоставляют гражданам возможность самостоятельной записи при обращении гражданина в медицинскую организацию и дистанционной записи на углубленную диспансеризацию, в том числе посредством использования Единого портала и иных информационных систем &lt;5&gt;.</w:t>
      </w:r>
      <w:bookmarkStart w:id="34" w:name="l46"/>
      <w:bookmarkStart w:id="35" w:name="l18"/>
      <w:bookmarkEnd w:id="34"/>
      <w:bookmarkEnd w:id="35"/>
      <w:proofErr w:type="gramEnd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&lt;5&gt; </w:t>
      </w:r>
      <w:hyperlink r:id="rId8" w:anchor="l1185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5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статьи 91.1 Федерального закона от 21 ноября 2011 г. N 323-ФЗ "Об основах охраны здоровья граждан в Российской Федерации" (далее - Федеральный закон) (Собрание законодательства Российской Федерации, 2011, N 48, ст. 6724; 2017, N 31, ст. 4791).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>Органы исполнительной власти субъектов Российской Федерации в сфере охраны здоровья обеспечивают передачу сведений о записях граждан на углубленную диспансеризацию в структурные подразделения медицинской организации, осуществляющей углубленную диспансеризацию, с использованием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единую государственную информационную систему в сфере здравоохранения в течение одного рабочего дня со дня получения</w:t>
      </w:r>
      <w:proofErr w:type="gram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актуализированных данных в соответствии с </w:t>
      </w:r>
      <w:hyperlink r:id="rId9" w:anchor="l2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Требованиями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утвержденными приказом Минздрава России от 24 декабря 2018 г. N 911н &lt;6&gt;.</w:t>
      </w:r>
      <w:bookmarkStart w:id="36" w:name="l19"/>
      <w:bookmarkStart w:id="37" w:name="l47"/>
      <w:bookmarkStart w:id="38" w:name="l20"/>
      <w:bookmarkEnd w:id="36"/>
      <w:bookmarkEnd w:id="37"/>
      <w:bookmarkEnd w:id="38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>&lt;6&gt; Зарегистрирован Министерством юстиции Российской Федерации 19 июня 2019 г., регистрационный N 54963.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При подозрении у гражданина наличия заболевания (состояния), диагноз которого не может быть установлен при проведении исследований и иных медицинских вмешательств, включенных в I этап, углубленная диспансеризация является завершенной в случае проведения исследований и иных медицинских вмешательств, включенных во II этап углубленной диспансеризации в соответствии с </w:t>
      </w:r>
      <w:hyperlink r:id="rId10" w:anchor="l1961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перечнем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>, приведенным в приложении N 4 к Программе государственных гарантий бесплатного оказания гражданам медицинской помощи</w:t>
      </w:r>
      <w:proofErr w:type="gram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(далее - Перечень исследований).</w:t>
      </w:r>
      <w:bookmarkStart w:id="39" w:name="l48"/>
      <w:bookmarkStart w:id="40" w:name="l21"/>
      <w:bookmarkEnd w:id="39"/>
      <w:bookmarkEnd w:id="40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гражданина (его законного представителя) от проведения одного или нескольких исследований или иных медицинских вмешательств, предусмотренных </w:t>
      </w:r>
      <w:hyperlink r:id="rId11" w:anchor="l1961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Перечнем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исследований, оформленного в соответствии со </w:t>
      </w:r>
      <w:hyperlink r:id="rId12" w:anchor="l608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20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&lt;7&gt;, углубленная диспансеризация считается завершенной в объеме проведенных исследований и иных медицинских вмешательств.</w:t>
      </w:r>
      <w:bookmarkStart w:id="41" w:name="l49"/>
      <w:bookmarkEnd w:id="41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>&lt;7&gt; Собрание законодательства Российской Федерации, 2011, N 48, ст. 6724; Официальный интернет-портал правовой информации (</w:t>
      </w:r>
      <w:proofErr w:type="spellStart"/>
      <w:r w:rsidRPr="005B33BC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5B33BC">
        <w:rPr>
          <w:rFonts w:ascii="Times New Roman" w:eastAsia="Times New Roman" w:hAnsi="Times New Roman" w:cs="Times New Roman"/>
          <w:sz w:val="24"/>
          <w:szCs w:val="24"/>
        </w:rPr>
        <w:t>), 2021, 2 июля, N 0001202107020046.</w:t>
      </w:r>
      <w:bookmarkStart w:id="42" w:name="l22"/>
      <w:bookmarkEnd w:id="42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14. При выявлении у гражданина в процессе углубленной диспансеризации медицинских показаний к проведению осмотров (консультаций) врачами-специалистами, исследований и иных медицинских вмешательств, не входящих в объем углубленной диспансеризации в соответствии с настоящим Порядком, они назначаются и выполняются в соответствии с положениями порядков оказания медицинской </w:t>
      </w: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>помощи</w:t>
      </w:r>
      <w:proofErr w:type="gram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 &lt;8&gt;.</w:t>
      </w:r>
      <w:bookmarkStart w:id="43" w:name="l50"/>
      <w:bookmarkStart w:id="44" w:name="l23"/>
      <w:bookmarkEnd w:id="43"/>
      <w:bookmarkEnd w:id="44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&lt;8&gt; </w:t>
      </w:r>
      <w:hyperlink r:id="rId13" w:anchor="l892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37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(Собрание законодательства Российской Федерации, 2011, N 48, ст. 6724; Официальный интернет-портал правовой информации (</w:t>
      </w:r>
      <w:proofErr w:type="spellStart"/>
      <w:r w:rsidRPr="005B33BC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5B33BC">
        <w:rPr>
          <w:rFonts w:ascii="Times New Roman" w:eastAsia="Times New Roman" w:hAnsi="Times New Roman" w:cs="Times New Roman"/>
          <w:sz w:val="24"/>
          <w:szCs w:val="24"/>
        </w:rPr>
        <w:t>), 2021, 2 июля, N 0001202107020046).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Результаты осмотров (консультаций) медицинскими работниками, исследований и иных медицинских вмешательств, входящих в объем углубленной диспансеризации, вносятся в медицинскую </w:t>
      </w:r>
      <w:hyperlink r:id="rId14" w:anchor="l20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карту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пациента, получающего медицинскую помощь в амбулаторных условиях &lt;9&gt;, с пометкой "Углубленная диспансеризация".</w:t>
      </w:r>
      <w:bookmarkStart w:id="45" w:name="l51"/>
      <w:bookmarkStart w:id="46" w:name="l24"/>
      <w:bookmarkEnd w:id="45"/>
      <w:bookmarkEnd w:id="46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&lt;9&gt; </w:t>
      </w:r>
      <w:hyperlink r:id="rId15" w:anchor="l8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 1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</w:t>
      </w:r>
      <w:proofErr w:type="gram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  <w:bookmarkStart w:id="47" w:name="l52"/>
      <w:bookmarkStart w:id="48" w:name="l25"/>
      <w:bookmarkEnd w:id="47"/>
      <w:bookmarkEnd w:id="48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33BC">
        <w:rPr>
          <w:rFonts w:ascii="Times New Roman" w:eastAsia="Times New Roman" w:hAnsi="Times New Roman" w:cs="Times New Roman"/>
          <w:sz w:val="24"/>
          <w:szCs w:val="24"/>
        </w:rP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при проведении углубленной диспансеризации, результаты приемов (осмотров, консультаций) медицинскими работниками, исследований и иных медицинских вмешательств, входящих в объем углубленной диспансеризации, сформированные в форме электронных медицинских документов, представляются в единую государственную информационную систему в сфере здравоохранения, в том числе с</w:t>
      </w:r>
      <w:proofErr w:type="gram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целью предоставления гражданам услуг в сфере здравоохранения в электронной форме посредством использования Единого портала и иных информационных систем, предусмотренных </w:t>
      </w:r>
      <w:hyperlink r:id="rId16" w:anchor="l1172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5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статьи 91 Федерального закона.</w:t>
      </w:r>
      <w:bookmarkStart w:id="49" w:name="l53"/>
      <w:bookmarkStart w:id="50" w:name="l26"/>
      <w:bookmarkEnd w:id="49"/>
      <w:bookmarkEnd w:id="50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>16. Проведение углубленной диспансеризации осуществляется с учетом санитарно-эпидемиологической обстановки в субъекте Российской Федерации.</w:t>
      </w:r>
    </w:p>
    <w:p w:rsidR="005B33BC" w:rsidRPr="005B33BC" w:rsidRDefault="005B33BC" w:rsidP="005B33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1" w:name="h56"/>
      <w:bookmarkEnd w:id="51"/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br/>
      </w:r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к Порядку направления граждан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br/>
      </w:r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на прохождение углубленной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br/>
      </w:r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диспансеризации, включая категории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br/>
      </w:r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граждан, проходящих углубленную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br/>
      </w:r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диспансеризацию в первоочередном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br/>
      </w:r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порядке, утвержденному приказом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br/>
      </w:r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Министерства здравоохранения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br/>
      </w:r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Российской Федерации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br/>
      </w:r>
      <w:r w:rsidRPr="005B33BC">
        <w:rPr>
          <w:rFonts w:ascii="Times New Roman" w:eastAsia="Times New Roman" w:hAnsi="Times New Roman" w:cs="Times New Roman"/>
          <w:i/>
          <w:iCs/>
          <w:sz w:val="24"/>
          <w:szCs w:val="24"/>
        </w:rPr>
        <w:t>от 1 июля 2021 г. N 698н</w:t>
      </w:r>
      <w:bookmarkStart w:id="52" w:name="l57"/>
      <w:bookmarkStart w:id="53" w:name="l54"/>
      <w:bookmarkEnd w:id="52"/>
      <w:bookmarkEnd w:id="53"/>
    </w:p>
    <w:p w:rsidR="005B33BC" w:rsidRPr="005B33BC" w:rsidRDefault="005B33BC" w:rsidP="005B33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54" w:name="h58"/>
      <w:bookmarkEnd w:id="54"/>
      <w:r w:rsidRPr="005B33BC">
        <w:rPr>
          <w:rFonts w:ascii="Times New Roman" w:eastAsia="Times New Roman" w:hAnsi="Times New Roman" w:cs="Times New Roman"/>
          <w:b/>
          <w:bCs/>
          <w:sz w:val="36"/>
          <w:szCs w:val="36"/>
        </w:rPr>
        <w:t>КАТЕГОРИИ ГРАЖДАН, ПРОХОДЯЩИХ УГЛУБЛЕННУЮ ДИСПАНСЕРИЗАЦИЮ В ПЕРВООЧЕРЕДНОМ ПОРЯДКЕ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1. Граждане, перенесшие новую </w:t>
      </w:r>
      <w:proofErr w:type="spellStart"/>
      <w:r w:rsidRPr="005B33BC">
        <w:rPr>
          <w:rFonts w:ascii="Times New Roman" w:eastAsia="Times New Roman" w:hAnsi="Times New Roman" w:cs="Times New Roman"/>
          <w:sz w:val="24"/>
          <w:szCs w:val="24"/>
        </w:rPr>
        <w:t>коронавирусную</w:t>
      </w:r>
      <w:proofErr w:type="spell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инфекцию COVID-19, при наличии двух и более хронических неинфекционных заболеваний.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При этом учитываются коды по </w:t>
      </w:r>
      <w:hyperlink r:id="rId17" w:anchor="l0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МКБ-10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&lt;1&gt; хронических неинфекционных заболеваний по следующим группам:</w:t>
      </w:r>
      <w:bookmarkStart w:id="55" w:name="l59"/>
      <w:bookmarkEnd w:id="55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&lt;1&gt; Международная статистическая </w:t>
      </w:r>
      <w:hyperlink r:id="rId18" w:anchor="l0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классификация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болезней и проблем, связанных со здоровьем, 10-го пересмотра.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hyperlink r:id="rId19" w:anchor="l850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I10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20" w:anchor="l850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I11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21" w:anchor="l851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I12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22" w:anchor="l852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I13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23" w:anchor="l853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I15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24" w:anchor="l857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I20.1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25" w:anchor="l857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I20.8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hyperlink r:id="rId26" w:anchor="l857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I20.8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27" w:anchor="l857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I20.9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28" w:anchor="l862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I25.0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29" w:anchor="l862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I25.1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30" w:anchor="l862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I25.2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31" w:anchor="l862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I25.5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32" w:anchor="l862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I25.6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33" w:anchor="l862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I25.8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34" w:anchor="l862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I25.9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bookmarkStart w:id="56" w:name="l55"/>
      <w:bookmarkEnd w:id="56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2 группа - </w:t>
      </w:r>
      <w:hyperlink r:id="rId35" w:anchor="l885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I48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7" w:name="l28"/>
      <w:bookmarkEnd w:id="57"/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3 группа - </w:t>
      </w:r>
      <w:hyperlink r:id="rId36" w:anchor="l439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E11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4 группа - </w:t>
      </w:r>
      <w:hyperlink r:id="rId37" w:anchor="l1007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J44.0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8" w:anchor="l1007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J44.8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9" w:anchor="l1007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J44.9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 </w:t>
      </w:r>
      <w:r w:rsidRPr="005B33BC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hyperlink r:id="rId40" w:anchor="l914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I69.0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41" w:anchor="l914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I69.1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42" w:anchor="l914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I69.2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43" w:anchor="l914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I69.3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44" w:anchor="l914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I69.4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45" w:anchor="l914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I67.8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Наличие двух и более хронических неинфекционных заболеваний у гражданина определяется при наличии кода по </w:t>
      </w:r>
      <w:hyperlink r:id="rId46" w:anchor="l0" w:tgtFrame="_blank" w:history="1">
        <w:r w:rsidRPr="005B3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МКБ-10</w:t>
        </w:r>
      </w:hyperlink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из 1 группы в сочетании с одним и более кодом по МКБ-10 из 2 - 5 групп.</w:t>
      </w:r>
    </w:p>
    <w:p w:rsidR="005B33BC" w:rsidRPr="005B33BC" w:rsidRDefault="005B33BC" w:rsidP="005B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2. Граждане, перенесшие новую </w:t>
      </w:r>
      <w:proofErr w:type="spellStart"/>
      <w:r w:rsidRPr="005B33BC">
        <w:rPr>
          <w:rFonts w:ascii="Times New Roman" w:eastAsia="Times New Roman" w:hAnsi="Times New Roman" w:cs="Times New Roman"/>
          <w:sz w:val="24"/>
          <w:szCs w:val="24"/>
        </w:rPr>
        <w:t>коронавирусную</w:t>
      </w:r>
      <w:proofErr w:type="spellEnd"/>
      <w:r w:rsidRPr="005B33BC">
        <w:rPr>
          <w:rFonts w:ascii="Times New Roman" w:eastAsia="Times New Roman" w:hAnsi="Times New Roman" w:cs="Times New Roman"/>
          <w:sz w:val="24"/>
          <w:szCs w:val="24"/>
        </w:rPr>
        <w:t xml:space="preserve"> инфекцию COVID-19, не относящиеся к категории, указанной в пункте 1 настоящего Приложения.</w:t>
      </w:r>
    </w:p>
    <w:p w:rsidR="005B33BC" w:rsidRPr="005B33BC" w:rsidRDefault="005B33BC" w:rsidP="005B33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33B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"https://school.kontur.ru/video/10659?utm_source=normativ&amp;utm_medium=banner&amp;utm_campaign=normativ_webinar_20211026_vzapisi&amp;utm_content=doc&amp;utm_term=bp" \t "_blank" </w:instrText>
      </w:r>
      <w:r w:rsidRPr="005B33B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B33BC" w:rsidRPr="005B33BC" w:rsidRDefault="005B33BC" w:rsidP="005B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3B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91D08" w:rsidRDefault="00991D08"/>
    <w:sectPr w:rsidR="0099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3BC"/>
    <w:rsid w:val="005B33BC"/>
    <w:rsid w:val="0099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3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33B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5B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33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B3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6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2762" TargetMode="External"/><Relationship Id="rId13" Type="http://schemas.openxmlformats.org/officeDocument/2006/relationships/hyperlink" Target="https://normativ.kontur.ru/document?moduleId=1&amp;documentId=392762" TargetMode="External"/><Relationship Id="rId18" Type="http://schemas.openxmlformats.org/officeDocument/2006/relationships/hyperlink" Target="https://normativ.kontur.ru/document?moduleId=1&amp;documentId=71591" TargetMode="External"/><Relationship Id="rId26" Type="http://schemas.openxmlformats.org/officeDocument/2006/relationships/hyperlink" Target="https://normativ.kontur.ru/document?moduleId=1&amp;documentId=71591" TargetMode="External"/><Relationship Id="rId39" Type="http://schemas.openxmlformats.org/officeDocument/2006/relationships/hyperlink" Target="https://normativ.kontur.ru/document?moduleId=1&amp;documentId=715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71591" TargetMode="External"/><Relationship Id="rId34" Type="http://schemas.openxmlformats.org/officeDocument/2006/relationships/hyperlink" Target="https://normativ.kontur.ru/document?moduleId=1&amp;documentId=71591" TargetMode="External"/><Relationship Id="rId42" Type="http://schemas.openxmlformats.org/officeDocument/2006/relationships/hyperlink" Target="https://normativ.kontur.ru/document?moduleId=1&amp;documentId=7159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373507" TargetMode="External"/><Relationship Id="rId12" Type="http://schemas.openxmlformats.org/officeDocument/2006/relationships/hyperlink" Target="https://normativ.kontur.ru/document?moduleId=1&amp;documentId=392762" TargetMode="External"/><Relationship Id="rId17" Type="http://schemas.openxmlformats.org/officeDocument/2006/relationships/hyperlink" Target="https://normativ.kontur.ru/document?moduleId=1&amp;documentId=71591" TargetMode="External"/><Relationship Id="rId25" Type="http://schemas.openxmlformats.org/officeDocument/2006/relationships/hyperlink" Target="https://normativ.kontur.ru/document?moduleId=1&amp;documentId=71591" TargetMode="External"/><Relationship Id="rId33" Type="http://schemas.openxmlformats.org/officeDocument/2006/relationships/hyperlink" Target="https://normativ.kontur.ru/document?moduleId=1&amp;documentId=71591" TargetMode="External"/><Relationship Id="rId38" Type="http://schemas.openxmlformats.org/officeDocument/2006/relationships/hyperlink" Target="https://normativ.kontur.ru/document?moduleId=1&amp;documentId=71591" TargetMode="External"/><Relationship Id="rId46" Type="http://schemas.openxmlformats.org/officeDocument/2006/relationships/hyperlink" Target="https://normativ.kontur.ru/document?moduleId=1&amp;documentId=715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92762" TargetMode="External"/><Relationship Id="rId20" Type="http://schemas.openxmlformats.org/officeDocument/2006/relationships/hyperlink" Target="https://normativ.kontur.ru/document?moduleId=1&amp;documentId=71591" TargetMode="External"/><Relationship Id="rId29" Type="http://schemas.openxmlformats.org/officeDocument/2006/relationships/hyperlink" Target="https://normativ.kontur.ru/document?moduleId=1&amp;documentId=71591" TargetMode="External"/><Relationship Id="rId41" Type="http://schemas.openxmlformats.org/officeDocument/2006/relationships/hyperlink" Target="https://normativ.kontur.ru/document?moduleId=1&amp;documentId=7159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9385" TargetMode="External"/><Relationship Id="rId11" Type="http://schemas.openxmlformats.org/officeDocument/2006/relationships/hyperlink" Target="https://normativ.kontur.ru/document?moduleId=1&amp;documentId=394332" TargetMode="External"/><Relationship Id="rId24" Type="http://schemas.openxmlformats.org/officeDocument/2006/relationships/hyperlink" Target="https://normativ.kontur.ru/document?moduleId=1&amp;documentId=71591" TargetMode="External"/><Relationship Id="rId32" Type="http://schemas.openxmlformats.org/officeDocument/2006/relationships/hyperlink" Target="https://normativ.kontur.ru/document?moduleId=1&amp;documentId=71591" TargetMode="External"/><Relationship Id="rId37" Type="http://schemas.openxmlformats.org/officeDocument/2006/relationships/hyperlink" Target="https://normativ.kontur.ru/document?moduleId=1&amp;documentId=71591" TargetMode="External"/><Relationship Id="rId40" Type="http://schemas.openxmlformats.org/officeDocument/2006/relationships/hyperlink" Target="https://normativ.kontur.ru/document?moduleId=1&amp;documentId=71591" TargetMode="External"/><Relationship Id="rId45" Type="http://schemas.openxmlformats.org/officeDocument/2006/relationships/hyperlink" Target="https://normativ.kontur.ru/document?moduleId=1&amp;documentId=71591" TargetMode="External"/><Relationship Id="rId5" Type="http://schemas.openxmlformats.org/officeDocument/2006/relationships/hyperlink" Target="https://normativ.kontur.ru/document?moduleId=1&amp;documentId=383367" TargetMode="External"/><Relationship Id="rId15" Type="http://schemas.openxmlformats.org/officeDocument/2006/relationships/hyperlink" Target="https://normativ.kontur.ru/document?moduleId=1&amp;documentId=377407" TargetMode="External"/><Relationship Id="rId23" Type="http://schemas.openxmlformats.org/officeDocument/2006/relationships/hyperlink" Target="https://normativ.kontur.ru/document?moduleId=1&amp;documentId=71591" TargetMode="External"/><Relationship Id="rId28" Type="http://schemas.openxmlformats.org/officeDocument/2006/relationships/hyperlink" Target="https://normativ.kontur.ru/document?moduleId=1&amp;documentId=71591" TargetMode="External"/><Relationship Id="rId36" Type="http://schemas.openxmlformats.org/officeDocument/2006/relationships/hyperlink" Target="https://normativ.kontur.ru/document?moduleId=1&amp;documentId=71591" TargetMode="External"/><Relationship Id="rId10" Type="http://schemas.openxmlformats.org/officeDocument/2006/relationships/hyperlink" Target="https://normativ.kontur.ru/document?moduleId=1&amp;documentId=394332" TargetMode="External"/><Relationship Id="rId19" Type="http://schemas.openxmlformats.org/officeDocument/2006/relationships/hyperlink" Target="https://normativ.kontur.ru/document?moduleId=1&amp;documentId=71591" TargetMode="External"/><Relationship Id="rId31" Type="http://schemas.openxmlformats.org/officeDocument/2006/relationships/hyperlink" Target="https://normativ.kontur.ru/document?moduleId=1&amp;documentId=71591" TargetMode="External"/><Relationship Id="rId44" Type="http://schemas.openxmlformats.org/officeDocument/2006/relationships/hyperlink" Target="https://normativ.kontur.ru/document?moduleId=1&amp;documentId=71591" TargetMode="External"/><Relationship Id="rId4" Type="http://schemas.openxmlformats.org/officeDocument/2006/relationships/hyperlink" Target="https://normativ.kontur.ru/document?moduleId=1&amp;documentId=394332" TargetMode="External"/><Relationship Id="rId9" Type="http://schemas.openxmlformats.org/officeDocument/2006/relationships/hyperlink" Target="https://normativ.kontur.ru/document?moduleId=1&amp;documentId=338271" TargetMode="External"/><Relationship Id="rId14" Type="http://schemas.openxmlformats.org/officeDocument/2006/relationships/hyperlink" Target="https://normativ.kontur.ru/document?moduleId=1&amp;documentId=377407" TargetMode="External"/><Relationship Id="rId22" Type="http://schemas.openxmlformats.org/officeDocument/2006/relationships/hyperlink" Target="https://normativ.kontur.ru/document?moduleId=1&amp;documentId=71591" TargetMode="External"/><Relationship Id="rId27" Type="http://schemas.openxmlformats.org/officeDocument/2006/relationships/hyperlink" Target="https://normativ.kontur.ru/document?moduleId=1&amp;documentId=71591" TargetMode="External"/><Relationship Id="rId30" Type="http://schemas.openxmlformats.org/officeDocument/2006/relationships/hyperlink" Target="https://normativ.kontur.ru/document?moduleId=1&amp;documentId=71591" TargetMode="External"/><Relationship Id="rId35" Type="http://schemas.openxmlformats.org/officeDocument/2006/relationships/hyperlink" Target="https://normativ.kontur.ru/document?moduleId=1&amp;documentId=71591" TargetMode="External"/><Relationship Id="rId43" Type="http://schemas.openxmlformats.org/officeDocument/2006/relationships/hyperlink" Target="https://normativ.kontur.ru/document?moduleId=1&amp;documentId=7159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3246</Words>
  <Characters>18503</Characters>
  <Application>Microsoft Office Word</Application>
  <DocSecurity>0</DocSecurity>
  <Lines>154</Lines>
  <Paragraphs>43</Paragraphs>
  <ScaleCrop>false</ScaleCrop>
  <Company/>
  <LinksUpToDate>false</LinksUpToDate>
  <CharactersWithSpaces>21706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gv_zaa</dc:creator>
  <cp:keywords/>
  <dc:description/>
  <cp:lastModifiedBy>gv_zaa</cp:lastModifiedBy>
  <cp:revision>3</cp:revision>
  <dcterms:created xsi:type="dcterms:W3CDTF">2021-11-12T11:21:00Z</dcterms:created>
  <dcterms:modified xsi:type="dcterms:W3CDTF">2021-11-12T11:22:00Z</dcterms:modified>
</cp:coreProperties>
</file>